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A" w:rsidRPr="00341E88" w:rsidRDefault="00341E88" w:rsidP="00341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5F5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515F5C"/>
          <w:sz w:val="32"/>
          <w:szCs w:val="32"/>
        </w:rPr>
        <w:t>ПОЛОЖЕНИЕ</w:t>
      </w:r>
    </w:p>
    <w:p w:rsidR="002102DA" w:rsidRPr="00341E88" w:rsidRDefault="002102DA" w:rsidP="00341E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15F5C"/>
          <w:sz w:val="32"/>
          <w:szCs w:val="32"/>
        </w:rPr>
      </w:pPr>
      <w:r w:rsidRPr="00341E88">
        <w:rPr>
          <w:rFonts w:ascii="Times New Roman" w:eastAsia="Times New Roman" w:hAnsi="Times New Roman" w:cs="Times New Roman"/>
          <w:b/>
          <w:bCs/>
          <w:color w:val="515F5C"/>
          <w:sz w:val="32"/>
          <w:szCs w:val="32"/>
        </w:rPr>
        <w:t xml:space="preserve">об </w:t>
      </w:r>
      <w:proofErr w:type="spellStart"/>
      <w:r w:rsidRPr="00341E88">
        <w:rPr>
          <w:rFonts w:ascii="Times New Roman" w:eastAsia="Times New Roman" w:hAnsi="Times New Roman" w:cs="Times New Roman"/>
          <w:b/>
          <w:bCs/>
          <w:color w:val="515F5C"/>
          <w:sz w:val="32"/>
          <w:szCs w:val="32"/>
        </w:rPr>
        <w:t>антикоррупционной</w:t>
      </w:r>
      <w:proofErr w:type="spellEnd"/>
      <w:r w:rsidRPr="00341E88">
        <w:rPr>
          <w:rFonts w:ascii="Times New Roman" w:eastAsia="Times New Roman" w:hAnsi="Times New Roman" w:cs="Times New Roman"/>
          <w:b/>
          <w:bCs/>
          <w:color w:val="515F5C"/>
          <w:sz w:val="32"/>
          <w:szCs w:val="32"/>
        </w:rPr>
        <w:t xml:space="preserve"> политике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</w:p>
    <w:p w:rsidR="002102DA" w:rsidRP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341E88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Общество с ограниченной ответственностью</w:t>
      </w:r>
    </w:p>
    <w:p w:rsid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«</w:t>
      </w:r>
      <w:r w:rsidR="00341E88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Центр семейной медицины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»</w:t>
      </w: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Общество с ограниченной ответственностью</w:t>
      </w: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«Центр семейной медицины +»</w:t>
      </w: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Общество с ограниченной ответственностью</w:t>
      </w: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«Медицинский лабораторный центр «Фамилия»</w:t>
      </w:r>
    </w:p>
    <w:p w:rsidR="00341E88" w:rsidRDefault="00341E88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</w:pPr>
    </w:p>
    <w:p w:rsidR="002102DA" w:rsidRPr="002102DA" w:rsidRDefault="002102DA" w:rsidP="002102DA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Понятие, цели и задачи </w:t>
      </w:r>
      <w:proofErr w:type="spell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политики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Положение об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политике разработано в соответствии с Конституцией РФ, Федеральным законом от 25 декабря 2008 г. № 273-ФЗ «О противодействии коррупции».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Антикоррупционная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политика (далее также – Политика) </w:t>
      </w:r>
      <w:r w:rsidR="00341E88">
        <w:rPr>
          <w:rFonts w:ascii="Times New Roman" w:eastAsia="Times New Roman" w:hAnsi="Times New Roman" w:cs="Times New Roman"/>
          <w:color w:val="515F5C"/>
          <w:sz w:val="24"/>
          <w:szCs w:val="24"/>
        </w:rPr>
        <w:t>ООО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«</w:t>
      </w:r>
      <w:r w:rsidR="00341E88">
        <w:rPr>
          <w:rFonts w:ascii="Times New Roman" w:eastAsia="Times New Roman" w:hAnsi="Times New Roman" w:cs="Times New Roman"/>
          <w:color w:val="515F5C"/>
          <w:sz w:val="24"/>
          <w:szCs w:val="24"/>
        </w:rPr>
        <w:t>ЦСМ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»</w:t>
      </w:r>
      <w:r w:rsidR="00341E88">
        <w:rPr>
          <w:rFonts w:ascii="Times New Roman" w:eastAsia="Times New Roman" w:hAnsi="Times New Roman" w:cs="Times New Roman"/>
          <w:color w:val="515F5C"/>
          <w:sz w:val="24"/>
          <w:szCs w:val="24"/>
        </w:rPr>
        <w:t>, ООО «ЦСМ +», ООО «Медицинский лабораторный центр «Фамилия»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 (далее – Медицинская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Антикоррупционная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политика отражает приверженность Медицинской организации и его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Целью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является формирование единого подхода к обеспечению работы по профилактике и противодействию коррупции в Медицинской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Медицинская организация ставит перед собой следующие цели: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минимизировать риск вовлечения Медицинской организации, руководства Медицинской организации и работников независимо от занимаемой должности в коррупционную деятельность;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сформировать у работников и иных лиц единообразие понимания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Медицинской организации о непринятии коррупции в любых формах и проявлениях;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обобщить и разъяснить основные требования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антикоррупционного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законодательства РФ, которые могут применяться в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Задачами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являются: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информирование работников о нормативно-правовом обеспечении работы по противодействию коррупции т ответственности за совершение коррупционных правонарушений;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определение основных принципов противодействия коррупции в медицинской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методическое обеспечение разработки и реализации мер, направленных на профилактику и противодействие коррупции в Медицинской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установить обязанность работников организации  знать и соблюдать принципы и требования настоящей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политики, ключевые нормы применимого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антикоррупционного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законодательства, а также мероприятия по предотвращению коррупции.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 </w:t>
      </w:r>
    </w:p>
    <w:p w:rsidR="002102DA" w:rsidRPr="002102DA" w:rsidRDefault="002102DA" w:rsidP="002102DA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Понятия и определения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0" w:name="sub_1021"/>
      <w:proofErr w:type="gramStart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Коррупция</w:t>
      </w:r>
      <w:bookmarkEnd w:id="0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5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 1 статьи 1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Федерального закона от 25 декабря 2008 г. № 273-ФЗ «О противодействии коррупции»).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" w:name="sub_1022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  <w:bookmarkEnd w:id="1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6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 2 статьи 1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Федерального закона от 25 декабря 2008 г. № 273-ФЗ «О противодействии коррупции»):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2" w:name="sub_10221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2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3" w:name="sub_10222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3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4" w:name="sub_10223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 по минимизации и (или) ликвидации последствий коррупционных правонарушений.</w:t>
      </w:r>
      <w:bookmarkEnd w:id="4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5" w:name="sub_1023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bookmarkEnd w:id="5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6" w:name="sub_1024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Контрагент</w:t>
      </w:r>
      <w:bookmarkEnd w:id="6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7" w:name="sub_1025"/>
      <w:proofErr w:type="gramStart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Взятка</w:t>
      </w:r>
      <w:bookmarkEnd w:id="7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8" w:name="sub_1026"/>
      <w:proofErr w:type="gramStart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Коммерческий подкуп</w:t>
      </w:r>
      <w:bookmarkEnd w:id="8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7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 1 статьи 204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Уголовного кодекса Российской Федерации).</w:t>
      </w:r>
      <w:proofErr w:type="gramEnd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9" w:name="sub_1027"/>
      <w:proofErr w:type="gramStart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 интересов</w:t>
      </w:r>
      <w:bookmarkEnd w:id="9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(представителем организации) которой он является.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0" w:name="sub_1028"/>
      <w:r w:rsidRPr="00210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 заинтересованность работника (представителя организации)</w:t>
      </w:r>
      <w:bookmarkEnd w:id="10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Коррупционное правонарушение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Коррупционный  фактор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lastRenderedPageBreak/>
        <w:t>Предупреждение коррупции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 -  деятельность по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Основные принципы </w:t>
      </w:r>
      <w:proofErr w:type="spell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деятельности медицинской организации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Антикоррупционная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политика в Медицинской  организации основывается на следующих ключевых принципах: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1. Принцип соответствия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в  Медицинской  организации действующему законодательству и общепринятым нормам.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Соответствие реализуемых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 Конституции РФ, заключенным РФ международным договорам, законодательству РФ и иным нормативным правовым актам, применимым к учреждению.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2. Принцип личного примера руководства.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3. Принцип вовлеченности работников.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Информированность работников организации о положениях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антикоррупционного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стандартов и процедур.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1" w:name="sub_304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Принцип соразмерности </w:t>
      </w:r>
      <w:proofErr w:type="spellStart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процедур риску коррупции.</w:t>
      </w:r>
      <w:bookmarkEnd w:id="11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2" w:name="sub_305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 Принцип эффективности </w:t>
      </w:r>
      <w:proofErr w:type="spellStart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процедур.</w:t>
      </w:r>
      <w:bookmarkEnd w:id="12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Применение в организации таких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приносят значимый результат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3" w:name="sub_306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Принцип ответственности и неотвратимости наказания.</w:t>
      </w:r>
      <w:bookmarkEnd w:id="13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Медицинской организации за реализацию внутриорганизационной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4" w:name="sub_307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Принцип открытости медицинской деятельности.</w:t>
      </w:r>
      <w:bookmarkEnd w:id="14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стандартах ведения медицинской деятельности.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bookmarkStart w:id="15" w:name="sub_308"/>
      <w:r w:rsidRPr="002102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Принцип постоянного контроля и регулярного мониторинга.</w:t>
      </w:r>
      <w:bookmarkEnd w:id="15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стандартов и процедур, а также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контроля за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их исполнением.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Противодействие коррупции в Российской Федерации осуществляется на основе следующих принципов: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законность;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- неотвратимость ответственности за совершение коррупционных правонарушений;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приоритетное применение мер по предупреждению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Область применения политики и круг лиц, попадающих </w:t>
      </w:r>
      <w:proofErr w:type="gram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под</w:t>
      </w:r>
      <w:proofErr w:type="gram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</w:t>
      </w:r>
      <w:proofErr w:type="gram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ее</w:t>
      </w:r>
      <w:proofErr w:type="gramEnd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действие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Основным кругом лиц, попадающих под действие политики, являются работники Медицинской организации,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Антикоррупционные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условия и обязательства могут закрепляться в договорах, заключаемых в Медицинской организации с контрагентами.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Должностные лица Медицинской организации, ответственные за реализацию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spell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политики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Руководитель Медицинской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мероприятий, их внедрение и контроль.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    Ответственные за реализацию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определяются в локальных нормативных актах Медицинской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   Задачи, функции полномочия должностных лиц, ответственных за противодействие коррупции: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       - разработка и представление на утверждение руководителем медицинской  организации проектов локальных нормативных актов Медицинской организации, направленных на реализацию мер по предупреждению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организация проведения оценки коррупционных рисков;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 xml:space="preserve">- проведение оценки результатов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работы и подготовка соответствующих отчетных материалов руководству Медицинской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при необходимости разрабатывать план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 в медицинской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иные задачи, функции и полномочия в соответствии с действующим законодательством и настоящей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политикой.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Закрепление обязанностей работников организации,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gram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связанных</w:t>
      </w:r>
      <w:proofErr w:type="gram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с предупреждением и противодействием коррупции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   Работники  Медицинской организации в связи с исполнением своих трудовых обязанностей должны: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Медицинской организации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совершить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или участвовать в совершении коррупционного правонарушения в интересах или от имени Медицинской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сообщить непосредственному руководителя или иному ответственному лицу о возможности возникновения либо возникшем у работника конфликте интересов.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7.     Выявление и урегулирование конфликта интересов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Понятие «конфликта интересов» определено в статье 75 Федерального закона от 21.11.11г. № 323-ФЗ «Об основах охраны здоровья граждан».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медицинские работники обязаны информировать главного врача медицинской  организации, в котором он работает;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главного врача медицинской организации в семидневный срок со дня, когда ему стало известно о конфликте интересов, обязан в письменной форме уведомить об этом Департамент охраны здоровья населения Кемеровской области.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 xml:space="preserve">В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КоАП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РФ предусмотрено наложение административных штрафов за непредставление информации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конфликта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Основные принципы управления конфликтом интересов в медицинской организации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В основу работы по управлению конфликтом интересов в  Медицинской организации положены следующие принципы: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обязательность раскрытия сведений о реальном или потенциальном конфликте 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индивидуальное   рассмотрение   и   оценка  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репутационных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 рисков  для   Медицинской организации  при выявлении каждого конфликта интересов и его урегулирование;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соблюдение баланса интересов Медицинской организации и работника при урегулировании конфликта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медицинской организации.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       - при принятии решений по деловым (хозяйственным) вопросам и выполнении своих трудовых обязанностей руководствоваться интересами медицинской организации – без учета своих личных интересов, интересов своих родственников и друзей;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раскрывать возникший (реальный) или потенциальный конфликт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содействовать урегулированию возникшего конфликта интересов.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Порядок раскрытия конфликта интересов работником Медицинской организации и порядок его урегулирования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Вид процедур раскрытия конфликта интересов: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раскрытие сведений о конфликте интересов при приеме на работу;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раскрытие сведений о конфликте интересов в ходе проведения аттестации.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руководителем медицинской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Медицинская организация  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Принятие мер по предупреждению коррупции при взаимодействии </w:t>
      </w:r>
      <w:proofErr w:type="gram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с</w:t>
      </w:r>
      <w:proofErr w:type="gramEnd"/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организациями – контрагентами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В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работе Медицинской организации, осуществляемой при взаимодействии с организациями - контрагентами, есть два направления.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Первое - установление и сохранение деловых (хозяйственных) отношении с теми организациями,  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инициативах.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Медицинской организации необходимо внедрять специальные процедуры проверки контрагентов в целях снижения риска вовлечения Медицинской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Другое направление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Медицинской организации. Определенные положения о соблюдении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стандартов могут включаться в договоры, заключаемые с организациями - контрагентами.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Кроме того, должно организовываться информирование контрагентов о степени реализации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мер, в том числе посредством размещения соответствующих сведении на официальном сайте Медицинской организации.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Консультирование и обучение работников Медицинской организации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        При организации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обучения работников по вопросам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 </w:t>
      </w:r>
      <w:hyperlink r:id="rId8" w:anchor="sub_1021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коррупция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в государственном и частном секторах экономики (теоретическая);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 Медицинской организации (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прикладная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);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прикладная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);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прикладная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).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обучаемых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: лица, ответственные за противодействие коррупции в Медицинской организации; руководящие работники; иные работники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обучение по вопросам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дополнительное обучение в случае выявления провалов в реализации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Внутренний контроль</w:t>
      </w:r>
    </w:p>
    <w:p w:rsidR="002102DA" w:rsidRPr="002102DA" w:rsidRDefault="009075E5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hyperlink r:id="rId9" w:history="1">
        <w:r w:rsidR="002102DA"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="002102DA"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от 6 декабря 2011 г. N 402-ФЗ "О бухгалтерском учете" установлена обязанность для всех организаций </w:t>
      </w:r>
      <w:proofErr w:type="gramStart"/>
      <w:r w:rsidR="002102DA"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осуществлять</w:t>
      </w:r>
      <w:proofErr w:type="gramEnd"/>
      <w:r w:rsidR="002102DA"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Медицинской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Медицинской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политики, реализуемой организацией, в том числе: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- контроль документирования операций хозяйственной деятельности организации;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антикоррупционные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деятельности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оплата услуг, характер которых не определен либо вызывает сомнения;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аффилированных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лиц и контрагентов;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рыночных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сомнительные платежи наличными.</w:t>
      </w:r>
    </w:p>
    <w:p w:rsidR="002102DA" w:rsidRPr="002102DA" w:rsidRDefault="002102DA" w:rsidP="00341E8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Взаимодействие с работниками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Медицинская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В Медицинской организации организуются безопасные, конфиденциальные и доступные средства информирования руководства о фактах взяточничества. По адресу электронной почты  </w:t>
      </w:r>
      <w:r w:rsidR="00F40C66" w:rsidRPr="00F40C66">
        <w:rPr>
          <w:rFonts w:ascii="Times New Roman" w:eastAsia="Times New Roman" w:hAnsi="Times New Roman" w:cs="Times New Roman"/>
          <w:b/>
          <w:color w:val="515F5C"/>
          <w:sz w:val="24"/>
          <w:szCs w:val="24"/>
          <w:lang w:val="en-US"/>
        </w:rPr>
        <w:t>manager</w:t>
      </w:r>
      <w:r w:rsidR="00F40C66" w:rsidRPr="00F40C66">
        <w:rPr>
          <w:rFonts w:ascii="Times New Roman" w:eastAsia="Times New Roman" w:hAnsi="Times New Roman" w:cs="Times New Roman"/>
          <w:b/>
          <w:color w:val="515F5C"/>
          <w:sz w:val="24"/>
          <w:szCs w:val="24"/>
        </w:rPr>
        <w:t>@</w:t>
      </w:r>
      <w:proofErr w:type="spellStart"/>
      <w:r w:rsidR="00F40C66" w:rsidRPr="00F40C66">
        <w:rPr>
          <w:rFonts w:ascii="Times New Roman" w:eastAsia="Times New Roman" w:hAnsi="Times New Roman" w:cs="Times New Roman"/>
          <w:b/>
          <w:color w:val="515F5C"/>
          <w:sz w:val="24"/>
          <w:szCs w:val="24"/>
          <w:lang w:val="en-US"/>
        </w:rPr>
        <w:t>familia</w:t>
      </w:r>
      <w:proofErr w:type="spellEnd"/>
      <w:r w:rsidR="00F40C66" w:rsidRPr="00F40C66">
        <w:rPr>
          <w:rFonts w:ascii="Times New Roman" w:eastAsia="Times New Roman" w:hAnsi="Times New Roman" w:cs="Times New Roman"/>
          <w:b/>
          <w:color w:val="515F5C"/>
          <w:sz w:val="24"/>
          <w:szCs w:val="24"/>
        </w:rPr>
        <w:t>74.</w:t>
      </w:r>
      <w:proofErr w:type="spellStart"/>
      <w:r w:rsidR="00F40C66" w:rsidRPr="00F40C66">
        <w:rPr>
          <w:rFonts w:ascii="Times New Roman" w:eastAsia="Times New Roman" w:hAnsi="Times New Roman" w:cs="Times New Roman"/>
          <w:b/>
          <w:color w:val="515F5C"/>
          <w:sz w:val="24"/>
          <w:szCs w:val="24"/>
          <w:lang w:val="en-US"/>
        </w:rPr>
        <w:t>ru</w:t>
      </w:r>
      <w:proofErr w:type="spellEnd"/>
      <w:r w:rsidR="009075E5">
        <w:fldChar w:fldCharType="begin"/>
      </w:r>
      <w:r w:rsidR="009075E5">
        <w:instrText>HYPERLINK "mailto:gb1_2012@mail.ru"</w:instrText>
      </w:r>
      <w:r w:rsidR="009075E5">
        <w:fldChar w:fldCharType="separate"/>
      </w:r>
      <w:r w:rsidR="009075E5">
        <w:fldChar w:fldCharType="end"/>
      </w:r>
      <w:r w:rsidR="00F40C66" w:rsidRPr="00F40C66">
        <w:t xml:space="preserve"> </w:t>
      </w: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на имя главного врача могут поступать предложения по улучшению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 и контроля, а также запросы со стороны работников и третьих лиц.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        Для формирования надлежащего уровня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культуры с новыми </w:t>
      </w:r>
      <w:proofErr w:type="spellStart"/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pa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ботниками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Медицинская организация заявляет о том, что ни одни работник не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будет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Медицинская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</w:t>
      </w:r>
    </w:p>
    <w:p w:rsidR="002102DA" w:rsidRPr="002102DA" w:rsidRDefault="002102DA" w:rsidP="000A06C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Сотрудничество с правоохранительными органами в сфере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противодействия коррупции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организации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декларируемым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антикоррупционным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стандартам поведения.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Сотрудничество с правоохранительными органами осуществляется в форме: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Руководству Медицинской организац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ии и ее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102DA" w:rsidRPr="002102DA" w:rsidRDefault="002102DA" w:rsidP="000A06C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Ответственность за несоблюдение (ненадлежащее исполнение)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требований </w:t>
      </w:r>
      <w:proofErr w:type="spell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политики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Медицинская организация и все работники должны соблюдать нормы российского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антикоррупционного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С   учетом   </w:t>
      </w:r>
      <w:proofErr w:type="gram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изложенного</w:t>
      </w:r>
      <w:proofErr w:type="gram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  всем   работникам  Медицинской организации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Руководитель медицинской организации и работники всех подразделений Медицинской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F40C66" w:rsidRDefault="00F40C66" w:rsidP="00F40C66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</w:p>
    <w:p w:rsidR="002102DA" w:rsidRPr="002102DA" w:rsidRDefault="002102DA" w:rsidP="00F40C66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lastRenderedPageBreak/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19. Порядок пересмотра и внесения изменений в Положение об</w:t>
      </w:r>
      <w:r w:rsidR="00F40C66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</w:t>
      </w:r>
      <w:proofErr w:type="spellStart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 xml:space="preserve"> политике Медицинской организации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Медицинская организация осуществляет регулярный мониторинг хода и эффективности реализации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мероприятий, необходимо внести в Положение об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политике изменения и дополнения.</w:t>
      </w:r>
    </w:p>
    <w:p w:rsidR="002102DA" w:rsidRPr="002102DA" w:rsidRDefault="002102DA" w:rsidP="002102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Пересмотр принятой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политики может проводиться и в иных случаях, таких как внесение изменений в </w:t>
      </w:r>
      <w:hyperlink r:id="rId10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ТК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РФ и </w:t>
      </w:r>
      <w:hyperlink r:id="rId11" w:history="1">
        <w:r w:rsidRPr="002102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</w:t>
        </w:r>
      </w:hyperlink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о противодействии коррупции, изменение организационно-правовой формы в Медицинской организации.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При выявлении недостаточно эффективных требований настоящего Положения или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 Медицинской организации, либо при изменении требований применимого законодательства РФ, главного врача Медицинской организации, а также ответственные лица, организуют выработку и реализацию плана действий по пересмотру и изменению настоящего Положения и/или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мероприятий.</w:t>
      </w:r>
    </w:p>
    <w:p w:rsidR="002102DA" w:rsidRPr="002102DA" w:rsidRDefault="002102DA" w:rsidP="000A06CC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 </w:t>
      </w:r>
      <w:r w:rsidRPr="002102DA">
        <w:rPr>
          <w:rFonts w:ascii="Times New Roman" w:eastAsia="Times New Roman" w:hAnsi="Times New Roman" w:cs="Times New Roman"/>
          <w:b/>
          <w:bCs/>
          <w:color w:val="515F5C"/>
          <w:sz w:val="24"/>
          <w:szCs w:val="24"/>
        </w:rPr>
        <w:t> Заключительные положения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Утвержденное Положение об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  политике   подлежит   непосредственной   реализации   и применению в деятельности медицинской организации, руководитель медицинской организации должен демонстрировать личный пример соблюдения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стандартов поведения, выступать гарантом выполнения в учреждении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антикоррупционных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правил и процедур.</w:t>
      </w:r>
    </w:p>
    <w:p w:rsidR="002102DA" w:rsidRPr="002102DA" w:rsidRDefault="002102DA" w:rsidP="002102D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515F5C"/>
          <w:sz w:val="24"/>
          <w:szCs w:val="24"/>
        </w:rPr>
      </w:pP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Антикоррупционная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политика Медицинской организации доводится до сведения работников, иных заинтересованных лиц путем обеспечения беспрепятственного доступа к тексту Положения об </w:t>
      </w:r>
      <w:proofErr w:type="spellStart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>антикоррупционной</w:t>
      </w:r>
      <w:proofErr w:type="spellEnd"/>
      <w:r w:rsidRPr="002102DA">
        <w:rPr>
          <w:rFonts w:ascii="Times New Roman" w:eastAsia="Times New Roman" w:hAnsi="Times New Roman" w:cs="Times New Roman"/>
          <w:color w:val="515F5C"/>
          <w:sz w:val="24"/>
          <w:szCs w:val="24"/>
        </w:rPr>
        <w:t xml:space="preserve"> политике, размещенному на официальном сайте Медицинской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p w:rsidR="00F0224C" w:rsidRDefault="00F0224C"/>
    <w:sectPr w:rsidR="00F0224C" w:rsidSect="00341E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88"/>
    <w:multiLevelType w:val="multilevel"/>
    <w:tmpl w:val="39C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01B2"/>
    <w:multiLevelType w:val="multilevel"/>
    <w:tmpl w:val="8CF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B5B07"/>
    <w:multiLevelType w:val="multilevel"/>
    <w:tmpl w:val="CFB0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A08C1"/>
    <w:multiLevelType w:val="multilevel"/>
    <w:tmpl w:val="23B0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A78"/>
    <w:multiLevelType w:val="multilevel"/>
    <w:tmpl w:val="04D8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20F09"/>
    <w:multiLevelType w:val="multilevel"/>
    <w:tmpl w:val="E35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6736F"/>
    <w:multiLevelType w:val="multilevel"/>
    <w:tmpl w:val="5FFE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D6BB3"/>
    <w:multiLevelType w:val="multilevel"/>
    <w:tmpl w:val="FAC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26F64"/>
    <w:multiLevelType w:val="multilevel"/>
    <w:tmpl w:val="2068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054A6"/>
    <w:multiLevelType w:val="multilevel"/>
    <w:tmpl w:val="753E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A504D"/>
    <w:multiLevelType w:val="multilevel"/>
    <w:tmpl w:val="6B3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F4935"/>
    <w:multiLevelType w:val="multilevel"/>
    <w:tmpl w:val="6AD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5A05"/>
    <w:multiLevelType w:val="multilevel"/>
    <w:tmpl w:val="78C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F3801"/>
    <w:multiLevelType w:val="multilevel"/>
    <w:tmpl w:val="9802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56D9B"/>
    <w:multiLevelType w:val="multilevel"/>
    <w:tmpl w:val="2F1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D5D38"/>
    <w:multiLevelType w:val="multilevel"/>
    <w:tmpl w:val="E1A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2DA"/>
    <w:rsid w:val="000A06CC"/>
    <w:rsid w:val="002102DA"/>
    <w:rsid w:val="00341E88"/>
    <w:rsid w:val="009075E5"/>
    <w:rsid w:val="00F0224C"/>
    <w:rsid w:val="00F4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E5"/>
  </w:style>
  <w:style w:type="paragraph" w:styleId="1">
    <w:name w:val="heading 1"/>
    <w:basedOn w:val="a"/>
    <w:link w:val="10"/>
    <w:uiPriority w:val="9"/>
    <w:qFormat/>
    <w:rsid w:val="0021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02DA"/>
    <w:rPr>
      <w:b/>
      <w:bCs/>
    </w:rPr>
  </w:style>
  <w:style w:type="paragraph" w:customStyle="1" w:styleId="rtecenter">
    <w:name w:val="rtecenter"/>
    <w:basedOn w:val="a"/>
    <w:rsid w:val="002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2DA"/>
  </w:style>
  <w:style w:type="character" w:styleId="a5">
    <w:name w:val="Hyperlink"/>
    <w:basedOn w:val="a0"/>
    <w:uiPriority w:val="99"/>
    <w:semiHidden/>
    <w:unhideWhenUsed/>
    <w:rsid w:val="0021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87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2-prk.ru/polozhenie-ob-antikorrupcionnoy-politi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8000.204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2/" TargetMode="External"/><Relationship Id="rId11" Type="http://schemas.openxmlformats.org/officeDocument/2006/relationships/hyperlink" Target="garantf1://12064203.0/" TargetMode="External"/><Relationship Id="rId5" Type="http://schemas.openxmlformats.org/officeDocument/2006/relationships/hyperlink" Target="garantf1://12064203.101/" TargetMode="Externa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2018-03-28T05:42:00Z</dcterms:created>
  <dcterms:modified xsi:type="dcterms:W3CDTF">2018-03-28T10:05:00Z</dcterms:modified>
</cp:coreProperties>
</file>